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19.09.2021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19.09.2021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- 6;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6 горений сухой растительности (камыша) и бытовых отходов (мусора) на общей площади 84 кв.м.</w:t>
            </w:r>
            <w:br/>
            <w:r>
              <w:rPr/>
              <w:t xml:space="preserve"> </w:t>
            </w:r>
            <w:br/>
            <w:r>
              <w:rPr/>
              <w:t xml:space="preserve"> 2) ДТП в Кетченеровском районе, пострадавших нет, оказана помощь 1 гражданину;</w:t>
            </w:r>
            <w:br/>
            <w:r>
              <w:rPr/>
              <w:t xml:space="preserve"> </w:t>
            </w:r>
            <w:br/>
            <w:r>
              <w:rPr/>
              <w:t xml:space="preserve"> 3) ДТП в Черноземельском районе,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2025-04-21T02:55:18+03:00</dcterms:created>
  <dcterms:modified xsi:type="dcterms:W3CDTF">2025-04-21T02:55:18+03:00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