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УГПН ГУ МЧС России по РК ведётся работа по регистрации деклараций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УГПН ГУ МЧС России по РК ведётся работа по регистрации деклараций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Федерального Закона № 123-ФЗ от 22.07.2008 «Технический регламент о требованиях пожарной безопасности», владельцы объектов должны самостоятельно заполнить декларацию о пожарном состоянии своих объектов и направить в уведомительном порядке в орган государственного пожарного надзора по месту нахождения объекта до 1 мая 2010 года.</w:t>
            </w:r>
            <w:br/>
            <w:r>
              <w:rPr/>
              <w:t xml:space="preserve"> </w:t>
            </w:r>
            <w:br/>
            <w:r>
              <w:rPr/>
              <w:t xml:space="preserve"> В органах ГПН ГУ МЧС России по РК числятся на учёте 711 объектов подлежащих декларированию.</w:t>
            </w:r>
            <w:br/>
            <w:r>
              <w:rPr/>
              <w:t xml:space="preserve"> </w:t>
            </w:r>
            <w:br/>
            <w:r>
              <w:rPr/>
              <w:t xml:space="preserve"> По учётным данным республиканского госпожнадзора, прошли регистрацию 109 объектов, по которым были представлены декларации пожарной безопасности, что составило 15,3% от общего числа объектов.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решение об отмене регистрации декларации принимается органом МЧС России в случае:</w:t>
            </w:r>
            <w:br/>
            <w:r>
              <w:rPr/>
              <w:t xml:space="preserve"> </w:t>
            </w:r>
            <w:br/>
            <w:r>
              <w:rPr/>
              <w:t xml:space="preserve"> - представления декларантом недостоверной информации;</w:t>
            </w:r>
            <w:br/>
            <w:r>
              <w:rPr/>
              <w:t xml:space="preserve"> </w:t>
            </w:r>
            <w:br/>
            <w:r>
              <w:rPr/>
              <w:t xml:space="preserve"> - изменения собственника объекта или лица, владеющего объектом на праве пожизненного наследуемого владения, хозяйственного ведения, оперативного управления либо на ином законном основании;</w:t>
            </w:r>
            <w:br/>
            <w:r>
              <w:rPr/>
              <w:t xml:space="preserve"> </w:t>
            </w:r>
            <w:br/>
            <w:r>
              <w:rPr/>
              <w:t xml:space="preserve"> - изменения характеристик объекта защиты, влияющих на сведения, содержащиеся в декларации, и не предоставления информации об этом по месту регистрации декларации.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2025-04-21T00:31:36+03:00</dcterms:created>
  <dcterms:modified xsi:type="dcterms:W3CDTF">2025-04-21T00:31:36+03:00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