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02.01.2014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02.01.2014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 января. 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02.01.2014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</w:t>
            </w:r>
            <w:r>
              <w:rPr/>
              <w:t xml:space="preserve">  силы и средства постоянной готовности ГУ МЧС России по Республике Калмыкия с 30.12.2013 г. переведены в режим Чрезвычайной ситуации.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пожаров, подлежащих статистическому учету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происшествия. </w:t>
            </w:r>
            <w:r>
              <w:rPr/>
              <w:t xml:space="preserve"> На территории Республики Калмыкия зарегистрировано 4 ДТП. Пострадало 4, спасено 4, погибло 0.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2025-04-20T16:47:02+03:00</dcterms:created>
  <dcterms:modified xsi:type="dcterms:W3CDTF">2025-04-20T16:47:02+03:00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