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ЕДДС муниципальных образований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ЕДДС муниципальных образований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создано 100%  ЕДДС, которые соответствуют показателям в среднем на 70 %. Ни одно ЕДДС МО на  100 %  не соответствует требованиям.</w:t>
            </w:r>
            <w:br/>
            <w:r>
              <w:rPr/>
              <w:t xml:space="preserve"> </w:t>
            </w:r>
            <w:br/>
            <w:r>
              <w:rPr/>
              <w:t xml:space="preserve"> Проблемными вопросами остаются: Организация прямых каналов связи; приобретение средств регистрации записи вызовов, факсов, ксероксов, сканеров и резервных источников электропитания. Требование иметь в составе дежурной смены ЕДДС не менее 2-х человек не выполняется. В 6 ЕДДС МО помещения не соответствуют требованиям.</w:t>
            </w:r>
            <w:br/>
            <w:r>
              <w:rPr/>
              <w:t xml:space="preserve"> </w:t>
            </w:r>
            <w:br/>
            <w:r>
              <w:rPr/>
              <w:t xml:space="preserve"> В лучшую сторону по оснащению отмечаются ЕДДС г.Элиста, Октябрьского, Малодербетовского, Ики-Бурульского РМО.</w:t>
            </w:r>
            <w:br/>
            <w:r>
              <w:rPr/>
              <w:t xml:space="preserve"> </w:t>
            </w:r>
            <w:br/>
            <w:r>
              <w:rPr/>
              <w:t xml:space="preserve"> В худшую сторону - ЕДДС Яшкульского, Кетченеровского Лаганского, Целинного и Юстинского РМО.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Калмыкия настойчиво рекомендует Главам администраций РМО и г. Элиста профинансировать в бюджете статьи расходов на развитие и дооснащение ЕДДС согласно требованиям.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2025-04-21T02:35:50+03:00</dcterms:created>
  <dcterms:modified xsi:type="dcterms:W3CDTF">2025-04-21T02:35:50+03:00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