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Соблюдайте правила безопасного судовождения!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Соблюдайте правила безопасного судовождения!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Пляжный сезон в Республике Калмыкия в самом разгаре, и владельцы маломерных судов продолжают бороздить водное пространство водоемов реки Волга республики, а это значит, что сохраняется вероятность происшествий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 гражданам о правилах безопасного судовождения и нормах оснащения маломерных судов, эксплуатируемых во внутренних водах, необходимым набором средств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Серия и регистрационный номер, присвоенные судну, наносятся на 1/4 длины корпуса судна на обоих бортах перед названием (если оно имеется), по светлой окраске бортов – черной краской, по темной окраске бортов – белой краской. Высота букв серии и регистрационного номера должна быть 15 см., толщина – 20 мм.</w:t>
            </w:r>
            <w:br/>
            <w:r>
              <w:rPr/>
              <w:t xml:space="preserve"> </w:t>
            </w:r>
            <w:br/>
            <w:r>
              <w:rPr/>
              <w:t xml:space="preserve"> Наряду с этим мотолодка должна быть укомплектована якорем, якорь-цепью или веревкой 20-25 м., спасательным кругом, спасательными нагрудниками или жилетами по числу пассажиров, багром или веслами, ведром или черпаком, кошмой или брезентом (1 кв. м.), аптечкой.</w:t>
            </w:r>
            <w:br/>
            <w:r>
              <w:rPr/>
              <w:t xml:space="preserve"> </w:t>
            </w:r>
            <w:br/>
            <w:r>
              <w:rPr/>
              <w:t xml:space="preserve"> Световая сигнализация устанавливается согласно правилам плавания.</w:t>
            </w:r>
            <w:br/>
            <w:r>
              <w:rPr/>
              <w:t xml:space="preserve"> </w:t>
            </w:r>
            <w:br/>
            <w:r>
              <w:rPr/>
              <w:t xml:space="preserve"> На пассажирах в возрасте до 14 лет при движении должны быть надеты спасательные жилеты или нагрудники.</w:t>
            </w:r>
            <w:br/>
            <w:r>
              <w:rPr/>
              <w:t xml:space="preserve"> </w:t>
            </w:r>
            <w:br/>
            <w:r>
              <w:rPr/>
              <w:t xml:space="preserve"> Категорически запрещается управление мотолодкой в нетрезвом состоянии, а также передача управления лицу, не имеющему документов на право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Владельцы маломерных судов обязаны до начала навигации продлить судовые документы на годность к плаванию.</w:t>
            </w:r>
            <w:br/>
            <w:r>
              <w:rPr/>
              <w:t xml:space="preserve"> </w:t>
            </w:r>
            <w:br/>
            <w:r>
              <w:rPr/>
              <w:t xml:space="preserve"> При временном выводе плавсредств из эксплуатации судовладелец ставит в известность ГИМС МЧС России по республике Калмыкия, о чем делается соответствующая запись в судовых документах.</w:t>
            </w:r>
            <w:br/>
            <w:r>
              <w:rPr/>
              <w:t xml:space="preserve"> </w:t>
            </w:r>
            <w:br/>
            <w:r>
              <w:rPr/>
              <w:t xml:space="preserve"> Удостоверение хранится у лица, ответственного за управление судном.</w:t>
            </w:r>
            <w:br/>
            <w:r>
              <w:rPr/>
              <w:t xml:space="preserve"> </w:t>
            </w:r>
            <w:br/>
            <w:r>
              <w:rPr/>
              <w:t xml:space="preserve"> В случае непригодности судна к дальнейшей эксплуатации владелец должен в обязательном порядке снять его с учета в ГИМС МЧС России по республике Калмыкия на основании заявления и сдать судовой билет.</w:t>
            </w:r>
            <w:br/>
            <w:r>
              <w:rPr/>
              <w:t xml:space="preserve"> </w:t>
            </w:r>
            <w:br/>
            <w:r>
              <w:rPr/>
              <w:t xml:space="preserve"> Судоводителям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1. Плавание на незарегистрированном и технически неисправном судне, на судне, не имеющем бортовых номеров, не прошедшем технического освидетельствования.</w:t>
            </w:r>
            <w:br/>
            <w:r>
              <w:rPr/>
              <w:t xml:space="preserve"> </w:t>
            </w:r>
            <w:br/>
            <w:r>
              <w:rPr/>
              <w:t xml:space="preserve"> 2. Использовать маломерные суда, не имеющие необходимого табельного снаряжения.</w:t>
            </w:r>
            <w:br/>
            <w:r>
              <w:rPr/>
              <w:t xml:space="preserve"> </w:t>
            </w:r>
            <w:br/>
            <w:r>
              <w:rPr/>
              <w:t xml:space="preserve"> 3. Передавать управление маломерным судном лицам, не имеющим при себе удостоверения на право управления маломерным судном.</w:t>
            </w:r>
            <w:br/>
            <w:r>
              <w:rPr/>
              <w:t xml:space="preserve"> </w:t>
            </w:r>
            <w:br/>
            <w:r>
              <w:rPr/>
              <w:t xml:space="preserve"> 4. Управлять маломерным судном в состоянии алкогольного или наркотического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5. Передавать управление маломерным судном лицам, находящимся в состоянии алкогольного или наркотического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6. Управлять маломерным судном в болезненном или утомлённом состоянии, если это может поставить под угрозу безопасность плавания.</w:t>
            </w:r>
            <w:br/>
            <w:r>
              <w:rPr/>
              <w:t xml:space="preserve"> </w:t>
            </w:r>
            <w:br/>
            <w:r>
              <w:rPr/>
              <w:t xml:space="preserve"> 7. За исключением случаев, когда маломерные и парусные суда выполняют, производственные задания:</w:t>
            </w:r>
            <w:br/>
            <w:r>
              <w:rPr/>
              <w:t xml:space="preserve"> </w:t>
            </w:r>
            <w:br/>
            <w:r>
              <w:rPr/>
              <w:t xml:space="preserve"> - маневрировать и останавливаться вблизи идущих или стоящих не маломерных судов земснарядов, плавучих кранов, других подобных объектов и в промежутках между ними;</w:t>
            </w:r>
            <w:br/>
            <w:r>
              <w:rPr/>
              <w:t xml:space="preserve"> </w:t>
            </w:r>
            <w:br/>
            <w:r>
              <w:rPr/>
              <w:t xml:space="preserve"> - останавливаться или становиться на якорь в пределах судового хода (полосы движение рекомендованного курса), а также у плавучих навигационных знаков;</w:t>
            </w:r>
            <w:br/>
            <w:r>
              <w:rPr/>
              <w:t xml:space="preserve"> </w:t>
            </w:r>
            <w:br/>
            <w:r>
              <w:rPr/>
              <w:t xml:space="preserve"> - останавливаться у пассажирских и грузовых причалов, дебаркадеров на расстоянии менее 20 метров выше и ниже их;</w:t>
            </w:r>
            <w:br/>
            <w:r>
              <w:rPr/>
              <w:t xml:space="preserve"> </w:t>
            </w:r>
            <w:br/>
            <w:r>
              <w:rPr/>
              <w:t xml:space="preserve"> - выходить на судовой ход при ограниченной (менее одного километра) видимости, а парусным судам, кроме того, и ночью.</w:t>
            </w:r>
            <w:br/>
            <w:r>
              <w:rPr/>
              <w:t xml:space="preserve"> </w:t>
            </w:r>
            <w:br/>
            <w:r>
              <w:rPr/>
              <w:t xml:space="preserve"> 8. Отдавать якоря, лоты, цепи-волокуши или останавливаться в зонах прокладки подводных кабелей и переходов, водозаборов и иных мест, обозначенных на местности (информационным знаками) или на карте, за исключением случаев возникновения для судна угрозы аварии.</w:t>
            </w:r>
            <w:br/>
            <w:r>
              <w:rPr/>
              <w:t xml:space="preserve"> </w:t>
            </w:r>
            <w:br/>
            <w:r>
              <w:rPr/>
              <w:t xml:space="preserve"> 9. Останавливаться под мостами.</w:t>
            </w:r>
            <w:br/>
            <w:r>
              <w:rPr/>
              <w:t xml:space="preserve"> </w:t>
            </w:r>
            <w:br/>
            <w:r>
              <w:rPr/>
              <w:t xml:space="preserve"> 10. Перегружать судно сверх установленной для него пассажировместимости, грузоподъёмности.</w:t>
            </w:r>
            <w:br/>
            <w:r>
              <w:rPr/>
              <w:t xml:space="preserve"> </w:t>
            </w:r>
            <w:br/>
            <w:r>
              <w:rPr/>
              <w:t xml:space="preserve"> 11. Устанавливать паруса на маломерном судне, не приспособленном для этой цели.</w:t>
            </w:r>
            <w:br/>
            <w:r>
              <w:rPr/>
              <w:t xml:space="preserve"> </w:t>
            </w:r>
            <w:br/>
            <w:r>
              <w:rPr/>
              <w:t xml:space="preserve"> 12. Перевозить взрывоопасные и огнеопасные грузы.</w:t>
            </w:r>
            <w:br/>
            <w:r>
              <w:rPr/>
              <w:t xml:space="preserve"> </w:t>
            </w:r>
            <w:br/>
            <w:r>
              <w:rPr/>
              <w:t xml:space="preserve"> 13. Двигаться в тумане или при других неблагоприятных условиях, когда из-за отсутствия видимости ориентировка невозможна.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2025-04-21T00:38:14+03:00</dcterms:created>
  <dcterms:modified xsi:type="dcterms:W3CDTF">2025-04-21T00:38:14+03:00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